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7EB2FF" w14:textId="411566E2" w:rsidR="00AF7CB0" w:rsidRPr="001B14C1" w:rsidRDefault="003B209A" w:rsidP="00AF7CB0">
      <w:pPr>
        <w:pStyle w:val="a"/>
        <w:rPr>
          <w:rFonts w:eastAsia="SimSun"/>
          <w:lang w:eastAsia="zh-CN"/>
        </w:rPr>
      </w:pPr>
      <w:bookmarkStart w:id="0" w:name="OLE_LINK1"/>
      <w:bookmarkStart w:id="1" w:name="OLE_LINK2"/>
      <w:r>
        <w:rPr>
          <w:rFonts w:cs="Arial"/>
          <w:sz w:val="24"/>
          <w:szCs w:val="24"/>
        </w:rPr>
        <w:t xml:space="preserve">3GPP TSG-RAN WG4 Meeting </w:t>
      </w:r>
      <w:hyperlink r:id="rId7" w:history="1">
        <w:r>
          <w:rPr>
            <w:rFonts w:cs="Arial"/>
            <w:sz w:val="24"/>
            <w:szCs w:val="24"/>
            <w:lang w:eastAsia="zh-CN"/>
          </w:rPr>
          <w:t>92</w:t>
        </w:r>
      </w:hyperlink>
      <w:r w:rsidR="00AF7CB0">
        <w:tab/>
      </w:r>
      <w:r w:rsidR="00AF7CB0">
        <w:tab/>
      </w:r>
      <w:r w:rsidR="00AF7CB0">
        <w:tab/>
      </w:r>
      <w:r w:rsidR="00AF7CB0">
        <w:tab/>
      </w:r>
      <w:r w:rsidR="00AF7CB0">
        <w:tab/>
      </w:r>
      <w:r w:rsidR="00AF7CB0">
        <w:tab/>
      </w:r>
      <w:r w:rsidR="00AF7CB0">
        <w:tab/>
      </w:r>
      <w:r w:rsidR="00AF7CB0">
        <w:tab/>
      </w:r>
      <w:r w:rsidR="00AF7CB0">
        <w:tab/>
      </w:r>
      <w:r w:rsidR="00AF7CB0">
        <w:tab/>
      </w:r>
      <w:r w:rsidR="00AF7CB0">
        <w:tab/>
      </w:r>
      <w:r w:rsidR="00AF7CB0">
        <w:tab/>
      </w:r>
      <w:r w:rsidR="00AF7CB0">
        <w:rPr>
          <w:rFonts w:eastAsia="SimSun" w:hint="eastAsia"/>
          <w:lang w:eastAsia="zh-CN"/>
        </w:rPr>
        <w:t xml:space="preserve">  </w:t>
      </w:r>
      <w:r w:rsidR="00AF7CB0">
        <w:tab/>
        <w:t xml:space="preserve">        </w:t>
      </w:r>
      <w:r w:rsidR="00AF7CB0">
        <w:rPr>
          <w:rFonts w:eastAsia="SimSun" w:hint="eastAsia"/>
          <w:lang w:eastAsia="zh-CN"/>
        </w:rPr>
        <w:t xml:space="preserve"> </w:t>
      </w:r>
      <w:r w:rsidR="00D72F3E" w:rsidRPr="00D72F3E">
        <w:t>R4-190</w:t>
      </w:r>
      <w:r w:rsidR="00AB4539">
        <w:t>9952</w:t>
      </w:r>
    </w:p>
    <w:bookmarkEnd w:id="0"/>
    <w:bookmarkEnd w:id="1"/>
    <w:p w14:paraId="6CED561F" w14:textId="77777777" w:rsidR="003B209A" w:rsidRDefault="003B209A" w:rsidP="003B209A">
      <w:pPr>
        <w:pStyle w:val="CRCoverPage"/>
        <w:spacing w:after="0"/>
        <w:outlineLvl w:val="0"/>
        <w:rPr>
          <w:b/>
          <w:bCs/>
          <w:noProof/>
          <w:sz w:val="22"/>
          <w:lang w:eastAsia="zh-CN"/>
        </w:rPr>
      </w:pPr>
      <w:r>
        <w:rPr>
          <w:b/>
          <w:bCs/>
          <w:noProof/>
          <w:sz w:val="22"/>
          <w:lang w:eastAsia="zh-CN"/>
        </w:rPr>
        <w:t>Ljubljana, Slovenia, 26th – 30th August 2019</w:t>
      </w:r>
    </w:p>
    <w:p w14:paraId="26F858F2" w14:textId="299F9C0E" w:rsidR="0043450E" w:rsidRPr="00426A90" w:rsidRDefault="0043450E" w:rsidP="0043450E">
      <w:pPr>
        <w:overflowPunct/>
        <w:autoSpaceDE/>
        <w:autoSpaceDN/>
        <w:adjustRightInd/>
        <w:textAlignment w:val="auto"/>
        <w:rPr>
          <w:rFonts w:ascii="Arial" w:hAnsi="Arial"/>
          <w:b/>
          <w:noProof/>
          <w:sz w:val="24"/>
        </w:rPr>
      </w:pPr>
    </w:p>
    <w:p w14:paraId="6AD6CE49" w14:textId="77777777" w:rsidR="003B209A" w:rsidRDefault="0043450E" w:rsidP="003B209A">
      <w:pPr>
        <w:tabs>
          <w:tab w:val="left" w:pos="1985"/>
        </w:tabs>
        <w:jc w:val="both"/>
        <w:rPr>
          <w:rFonts w:ascii="Arial" w:hAnsi="Arial" w:cs="Arial"/>
          <w:sz w:val="22"/>
        </w:rPr>
      </w:pPr>
      <w:r w:rsidRPr="00B16EEF">
        <w:rPr>
          <w:b/>
          <w:sz w:val="22"/>
        </w:rPr>
        <w:t xml:space="preserve">Source: </w:t>
      </w:r>
      <w:r w:rsidRPr="00B16EEF">
        <w:rPr>
          <w:b/>
          <w:sz w:val="22"/>
        </w:rPr>
        <w:tab/>
      </w:r>
      <w:r w:rsidR="003B209A">
        <w:rPr>
          <w:rFonts w:ascii="Arial" w:hAnsi="Arial" w:cs="Arial"/>
          <w:sz w:val="22"/>
        </w:rPr>
        <w:t>Skyworks Solutions, Inc.</w:t>
      </w:r>
    </w:p>
    <w:p w14:paraId="5B6A96A7" w14:textId="4BDD464F" w:rsidR="0043450E" w:rsidRDefault="0043450E" w:rsidP="003B209A">
      <w:pPr>
        <w:tabs>
          <w:tab w:val="left" w:pos="1985"/>
        </w:tabs>
        <w:jc w:val="both"/>
        <w:rPr>
          <w:sz w:val="22"/>
        </w:rPr>
      </w:pPr>
      <w:r w:rsidRPr="00B16EEF">
        <w:rPr>
          <w:b/>
          <w:sz w:val="22"/>
        </w:rPr>
        <w:t>Title:</w:t>
      </w:r>
      <w:r w:rsidRPr="00B16EEF">
        <w:rPr>
          <w:sz w:val="22"/>
        </w:rPr>
        <w:t xml:space="preserve"> </w:t>
      </w:r>
      <w:r w:rsidRPr="00B16EEF">
        <w:rPr>
          <w:sz w:val="22"/>
        </w:rPr>
        <w:tab/>
      </w:r>
      <w:r>
        <w:rPr>
          <w:sz w:val="22"/>
        </w:rPr>
        <w:tab/>
      </w:r>
      <w:r w:rsidR="00F14778">
        <w:rPr>
          <w:sz w:val="22"/>
        </w:rPr>
        <w:t>EN-DC MSD Test Point Refinements for FR1</w:t>
      </w:r>
    </w:p>
    <w:p w14:paraId="23226DA5" w14:textId="1B4CB83D"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F14778" w:rsidRPr="00F14778">
        <w:rPr>
          <w:b/>
          <w:sz w:val="22"/>
        </w:rPr>
        <w:t>7.5.2.3 Maintenance for combinations for 38.101-3  [NR_newRAT-Core]</w:t>
      </w:r>
    </w:p>
    <w:p w14:paraId="7AD518C5" w14:textId="27D02DF8" w:rsidR="0043450E" w:rsidRPr="00F26B60" w:rsidRDefault="0043450E" w:rsidP="0043450E">
      <w:pPr>
        <w:tabs>
          <w:tab w:val="left" w:pos="1985"/>
        </w:tabs>
        <w:jc w:val="both"/>
        <w:rPr>
          <w:caps/>
          <w:sz w:val="22"/>
        </w:rPr>
      </w:pPr>
      <w:r w:rsidRPr="00B16EEF">
        <w:rPr>
          <w:b/>
          <w:sz w:val="22"/>
        </w:rPr>
        <w:t>Document for:</w:t>
      </w:r>
      <w:r w:rsidRPr="00B16EEF">
        <w:rPr>
          <w:sz w:val="22"/>
        </w:rPr>
        <w:tab/>
      </w:r>
      <w:r w:rsidR="00AA234E">
        <w:rPr>
          <w:sz w:val="22"/>
        </w:rPr>
        <w:t>Discussion</w:t>
      </w:r>
      <w:bookmarkStart w:id="2" w:name="_GoBack"/>
      <w:bookmarkEnd w:id="2"/>
    </w:p>
    <w:p w14:paraId="5C2448DB" w14:textId="77777777" w:rsidR="0043450E" w:rsidRDefault="0043450E" w:rsidP="0043450E">
      <w:pPr>
        <w:pStyle w:val="Heading1"/>
      </w:pPr>
      <w:r>
        <w:t>1</w:t>
      </w:r>
      <w:r>
        <w:tab/>
        <w:t>Introduction</w:t>
      </w:r>
    </w:p>
    <w:p w14:paraId="5B2AD34E" w14:textId="27587910" w:rsidR="00D72F3E" w:rsidRDefault="0048095C" w:rsidP="000B5E8E">
      <w:r>
        <w:t xml:space="preserve">Conformance test procedure currently sends </w:t>
      </w:r>
      <w:r w:rsidRPr="0048095C">
        <w:t xml:space="preserve">continuously uplink power control "up" commands in the uplink scheduling information to both </w:t>
      </w:r>
      <w:r>
        <w:t xml:space="preserve">LTE and NR </w:t>
      </w:r>
      <w:r w:rsidRPr="0048095C">
        <w:t>carriers to ensure the UE transmits PUMAX level</w:t>
      </w:r>
      <w:r>
        <w:t xml:space="preserve"> during the test [1]. Due to power class power sharing rules, this procedure does not guarantee that NR transmissions are possible for the entire duration of the throughput test. </w:t>
      </w:r>
      <w:r w:rsidR="00AA234E">
        <w:t xml:space="preserve">To alleviate this risk, we propose in this contribution an approach similar to the study example of DC_(n)71AA </w:t>
      </w:r>
      <w:r>
        <w:t>[2]</w:t>
      </w:r>
      <w:r w:rsidR="00AA234E">
        <w:t xml:space="preserve">, where </w:t>
      </w:r>
      <w:r>
        <w:t xml:space="preserve">both LTE and NR </w:t>
      </w:r>
      <w:r w:rsidR="00AA234E">
        <w:t xml:space="preserve">carrier transmit power levels are specified for each MSD test point (TP) in the RAN 4 core requirements. </w:t>
      </w:r>
    </w:p>
    <w:p w14:paraId="39F9B954" w14:textId="68C743BA" w:rsidR="00D72F3E" w:rsidRDefault="00D72F3E" w:rsidP="00D72F3E">
      <w:pPr>
        <w:pStyle w:val="Heading1"/>
      </w:pPr>
      <w:r>
        <w:t>2</w:t>
      </w:r>
      <w:r>
        <w:tab/>
      </w:r>
      <w:r w:rsidR="00645011">
        <w:t>Introduction of LTE and NR Target Transmit Power Requirements for MSD Test Points</w:t>
      </w:r>
    </w:p>
    <w:p w14:paraId="034A9B8E" w14:textId="6C2895BA" w:rsidR="004567B9" w:rsidRDefault="00A32A03" w:rsidP="004567B9">
      <w:r>
        <w:t>The current test procedure for all EN-DC Reference Sensitivity level</w:t>
      </w:r>
      <w:r w:rsidR="00AB4539">
        <w:t>s (intra-band contiguous or non-</w:t>
      </w:r>
      <w:r>
        <w:t>contiguous, and inter-band) specifies to, quoting [1], “</w:t>
      </w:r>
      <w:r w:rsidRPr="00A32A03">
        <w:t>Send continuously uplink power control "up" commands in the uplink scheduling information to both carriers to ensure the UE transmits PUMAX level for at least the duration of the Throughput measurement.</w:t>
      </w:r>
      <w:r>
        <w:t xml:space="preserve">”. This procedure does not guarantee that NR transmissions are maintained for the </w:t>
      </w:r>
      <w:r w:rsidR="00B676CD">
        <w:t xml:space="preserve">duration of the test since if LTE reaches 23 dBm for a PC3 UE, no power is left for NR. </w:t>
      </w:r>
      <w:r w:rsidR="00645011">
        <w:t>One way to alleviate this risk is to define a target transmit power to both LTE and NR carriers for each MSD test point.</w:t>
      </w:r>
    </w:p>
    <w:p w14:paraId="2253335C" w14:textId="7A0F8B6E" w:rsidR="00645011" w:rsidRPr="00645011" w:rsidRDefault="00645011" w:rsidP="004567B9">
      <w:pPr>
        <w:rPr>
          <w:b/>
        </w:rPr>
      </w:pPr>
      <w:r w:rsidRPr="00645011">
        <w:rPr>
          <w:b/>
        </w:rPr>
        <w:t>Observation 1: Current conformance test procedure</w:t>
      </w:r>
      <w:r w:rsidR="00B676CD">
        <w:rPr>
          <w:b/>
        </w:rPr>
        <w:t>s do</w:t>
      </w:r>
      <w:r w:rsidRPr="00645011">
        <w:rPr>
          <w:b/>
        </w:rPr>
        <w:t xml:space="preserve"> not guarantee that NR transmissions can be maintained for the whole duration of the throughput test. One possible solution to alleviate th</w:t>
      </w:r>
      <w:r w:rsidR="00B676CD">
        <w:rPr>
          <w:b/>
        </w:rPr>
        <w:t xml:space="preserve">is risk consists in specifying the </w:t>
      </w:r>
      <w:r w:rsidRPr="00645011">
        <w:rPr>
          <w:b/>
        </w:rPr>
        <w:t>target transmit power levels for LTE and NR in the RAN 4 core requirements specifications.</w:t>
      </w:r>
    </w:p>
    <w:p w14:paraId="2B00DFB9" w14:textId="7F17C45A" w:rsidR="00AA234E" w:rsidRDefault="00A32A03" w:rsidP="00AA234E">
      <w:r>
        <w:t>F</w:t>
      </w:r>
      <w:r w:rsidR="00AB4539">
        <w:t>or Intra-band contiguous or non-</w:t>
      </w:r>
      <w:r>
        <w:t>contiguous EN-DC combinations, by default, since both LTE and NR basestation</w:t>
      </w:r>
      <w:r w:rsidR="00645011">
        <w:t>s (gNb)</w:t>
      </w:r>
      <w:r>
        <w:t xml:space="preserve"> are</w:t>
      </w:r>
      <w:r w:rsidR="00645011">
        <w:t xml:space="preserve"> assumed co-located, it is proposed to set</w:t>
      </w:r>
      <w:r w:rsidR="00AA234E">
        <w:t xml:space="preserve"> </w:t>
      </w:r>
      <w:r w:rsidR="00645011">
        <w:t>each carrier target Tx power levels according to ensure equal PSD</w:t>
      </w:r>
      <w:r>
        <w:t xml:space="preserve"> </w:t>
      </w:r>
      <w:r w:rsidR="00645011">
        <w:t>is met</w:t>
      </w:r>
      <w:r w:rsidR="00AA234E">
        <w:t xml:space="preserve"> while ensuring that the total EN-DC power complies to the MPR rules as defined in section 6.2B.2 [3]. </w:t>
      </w:r>
      <w:r>
        <w:t xml:space="preserve">For inter-band EN-DC combinations, eventhough gNb are not necessarily co-located, for the sake of consistency, we </w:t>
      </w:r>
      <w:r w:rsidR="00645011">
        <w:t xml:space="preserve">also </w:t>
      </w:r>
      <w:r>
        <w:t>suggest to adopt equa</w:t>
      </w:r>
      <w:r w:rsidR="00AA234E">
        <w:t>l PSD to set the LTE and NR respective carrier’s transmit power levels. A solution must be found for both Release 15 and Release 16.</w:t>
      </w:r>
    </w:p>
    <w:p w14:paraId="434FD150" w14:textId="718ACF01" w:rsidR="00AA234E" w:rsidRDefault="00AA234E" w:rsidP="00AA234E">
      <w:pPr>
        <w:rPr>
          <w:b/>
        </w:rPr>
      </w:pPr>
      <w:r>
        <w:rPr>
          <w:b/>
        </w:rPr>
        <w:t>Observation 2</w:t>
      </w:r>
      <w:r w:rsidRPr="00645011">
        <w:rPr>
          <w:b/>
        </w:rPr>
        <w:t xml:space="preserve">: </w:t>
      </w:r>
      <w:r>
        <w:rPr>
          <w:b/>
        </w:rPr>
        <w:t xml:space="preserve">LTE and NR carrier transmit power levels </w:t>
      </w:r>
      <w:r w:rsidR="00B676CD">
        <w:rPr>
          <w:b/>
        </w:rPr>
        <w:t>may</w:t>
      </w:r>
      <w:r>
        <w:rPr>
          <w:b/>
        </w:rPr>
        <w:t xml:space="preserve"> be set </w:t>
      </w:r>
      <w:r w:rsidR="00B676CD">
        <w:rPr>
          <w:b/>
        </w:rPr>
        <w:t>to meet</w:t>
      </w:r>
      <w:r>
        <w:rPr>
          <w:b/>
        </w:rPr>
        <w:t xml:space="preserve"> equal PSD while </w:t>
      </w:r>
      <w:r w:rsidR="00B676CD">
        <w:rPr>
          <w:b/>
        </w:rPr>
        <w:t>obeying the allowed</w:t>
      </w:r>
      <w:r>
        <w:rPr>
          <w:b/>
        </w:rPr>
        <w:t xml:space="preserve"> MPR rules.</w:t>
      </w:r>
    </w:p>
    <w:p w14:paraId="31B27219" w14:textId="30A13060" w:rsidR="00AA234E" w:rsidRDefault="00AA234E" w:rsidP="00AA234E">
      <w:r>
        <w:t xml:space="preserve">Considering the large test tolerances, it should be noted that specifying LTE and NR carrier transmit power </w:t>
      </w:r>
      <w:r w:rsidR="00B676CD">
        <w:t xml:space="preserve">levels </w:t>
      </w:r>
      <w:r>
        <w:t>for each MSD / Reference sensitivity test point, might not necessarily always prevent NR transmissions from being dropped. The impact of test tolerances should be further evaluated.</w:t>
      </w:r>
    </w:p>
    <w:p w14:paraId="3524B782" w14:textId="3123B6CF" w:rsidR="00AA234E" w:rsidRPr="00AA234E" w:rsidRDefault="00AA234E" w:rsidP="00AA234E">
      <w:r>
        <w:rPr>
          <w:b/>
        </w:rPr>
        <w:t>Observation 3</w:t>
      </w:r>
      <w:r w:rsidRPr="00645011">
        <w:rPr>
          <w:b/>
        </w:rPr>
        <w:t xml:space="preserve">: </w:t>
      </w:r>
      <w:r>
        <w:rPr>
          <w:b/>
        </w:rPr>
        <w:t xml:space="preserve">The impact of large measurement test tolerances on ensuring that both LTE and NR transmissions are maintained throughout the whole duration of the test should be further evaluated even in the case where LTE and NR carrier transmit power levels are specified in RAN4 core requirement </w:t>
      </w:r>
      <w:r w:rsidR="00AB4539">
        <w:rPr>
          <w:b/>
        </w:rPr>
        <w:t>specifications</w:t>
      </w:r>
      <w:r>
        <w:rPr>
          <w:b/>
        </w:rPr>
        <w:t>.</w:t>
      </w:r>
    </w:p>
    <w:p w14:paraId="0531E8B4" w14:textId="235C51A0" w:rsidR="00357695" w:rsidRDefault="00AA234E" w:rsidP="00B676CD">
      <w:r>
        <w:t xml:space="preserve"> </w:t>
      </w:r>
    </w:p>
    <w:p w14:paraId="0ABACAC6" w14:textId="1A2D9F07" w:rsidR="0008797B" w:rsidRDefault="0008797B" w:rsidP="0008797B">
      <w:pPr>
        <w:pStyle w:val="Heading1"/>
      </w:pPr>
      <w:r>
        <w:t>4</w:t>
      </w:r>
      <w:r>
        <w:tab/>
        <w:t>Conclusion</w:t>
      </w:r>
    </w:p>
    <w:p w14:paraId="4D7858F5" w14:textId="5A1C88BB" w:rsidR="006E2DC8" w:rsidRDefault="00B676CD" w:rsidP="00B676CD">
      <w:r>
        <w:t xml:space="preserve">This contribution discusses whether RAN4 core requirements should specify both LTE and NR transmit power levels for each MSD / Reference Sensitivity level test cases as a possible method to alleviate the risk of dropping NR transmissions when continuous “up” transmit power control commands are sent to both LTE and NR </w:t>
      </w:r>
      <w:r w:rsidR="00AB4539">
        <w:t>carriers</w:t>
      </w:r>
      <w:r>
        <w:t xml:space="preserve">. It should </w:t>
      </w:r>
      <w:r>
        <w:lastRenderedPageBreak/>
        <w:t xml:space="preserve">be further evaluated whether the large measurement test tolerances may still present a risk of dropping NR transmissions for the duration of the throughput tests. </w:t>
      </w:r>
    </w:p>
    <w:p w14:paraId="16D45AD8" w14:textId="77777777" w:rsidR="004D0F95" w:rsidRDefault="004D0F95" w:rsidP="004D0F95">
      <w:pPr>
        <w:pStyle w:val="Heading1"/>
        <w:ind w:left="0" w:firstLine="0"/>
        <w:jc w:val="both"/>
      </w:pPr>
      <w:r>
        <w:t>References</w:t>
      </w:r>
    </w:p>
    <w:p w14:paraId="7C1A2219" w14:textId="7882C1A4" w:rsidR="004D0F95" w:rsidRDefault="004D0F95" w:rsidP="007D5E97">
      <w:pPr>
        <w:jc w:val="both"/>
      </w:pPr>
      <w:r>
        <w:t>[1]</w:t>
      </w:r>
      <w:r w:rsidRPr="00ED2F28">
        <w:tab/>
      </w:r>
      <w:r w:rsidR="007D5E97">
        <w:t>TS 38.521-f30, User Equipment (UE) conformance specification;</w:t>
      </w:r>
      <w:r w:rsidR="00AB4539">
        <w:t xml:space="preserve"> </w:t>
      </w:r>
      <w:r w:rsidR="007D5E97">
        <w:t>Radio transmission and reception;</w:t>
      </w:r>
      <w:r w:rsidR="00B676CD">
        <w:t xml:space="preserve"> </w:t>
      </w:r>
      <w:r w:rsidR="007D5E97">
        <w:t>Part 3: Range 1 and Range 2 Interworking operation with other radios.</w:t>
      </w:r>
    </w:p>
    <w:p w14:paraId="11E191C5" w14:textId="18889064" w:rsidR="007D5E97" w:rsidRDefault="007D5E97" w:rsidP="007D5E97">
      <w:pPr>
        <w:jc w:val="both"/>
      </w:pPr>
      <w:r>
        <w:t xml:space="preserve">[2] </w:t>
      </w:r>
      <w:r w:rsidRPr="007D5E97">
        <w:t>R4-1907165</w:t>
      </w:r>
      <w:r>
        <w:t xml:space="preserve">, </w:t>
      </w:r>
      <w:r w:rsidRPr="007D5E97">
        <w:t>DC_(n)71AA Reference Sensitivity Test Conditions for REL-16</w:t>
      </w:r>
      <w:r>
        <w:t>, Skyworks Solutions, Inc.</w:t>
      </w:r>
    </w:p>
    <w:p w14:paraId="4A180593" w14:textId="1D460671" w:rsidR="00AA234E" w:rsidRDefault="00AA234E" w:rsidP="00AA234E">
      <w:pPr>
        <w:jc w:val="both"/>
      </w:pPr>
      <w:r>
        <w:t>[3] TS 38.101-f60, User Equipment (UE) radio transmission and reception;</w:t>
      </w:r>
      <w:r w:rsidR="00B676CD">
        <w:t xml:space="preserve"> </w:t>
      </w:r>
      <w:r>
        <w:t>Part 3: Range 1 and Range 2 Interworking operation with other radios</w:t>
      </w:r>
    </w:p>
    <w:p w14:paraId="0593606F" w14:textId="77777777" w:rsidR="004D0F95" w:rsidRPr="00290D1E" w:rsidRDefault="004D0F95" w:rsidP="00290D1E"/>
    <w:sectPr w:rsidR="004D0F95" w:rsidRPr="00290D1E" w:rsidSect="00426A90">
      <w:headerReference w:type="even" r:id="rId8"/>
      <w:footnotePr>
        <w:numRestart w:val="eachSect"/>
      </w:footnotePr>
      <w:pgSz w:w="11907" w:h="16840" w:code="9"/>
      <w:pgMar w:top="426"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887455" w14:textId="77777777" w:rsidR="005C43FF" w:rsidRDefault="005C43FF" w:rsidP="002B3503">
      <w:pPr>
        <w:spacing w:after="0"/>
      </w:pPr>
      <w:r>
        <w:separator/>
      </w:r>
    </w:p>
  </w:endnote>
  <w:endnote w:type="continuationSeparator" w:id="0">
    <w:p w14:paraId="48B0825B" w14:textId="77777777" w:rsidR="005C43FF" w:rsidRDefault="005C43FF"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7B7696" w14:textId="77777777" w:rsidR="005C43FF" w:rsidRDefault="005C43FF" w:rsidP="002B3503">
      <w:pPr>
        <w:spacing w:after="0"/>
      </w:pPr>
      <w:r>
        <w:separator/>
      </w:r>
    </w:p>
  </w:footnote>
  <w:footnote w:type="continuationSeparator" w:id="0">
    <w:p w14:paraId="4DBC9551" w14:textId="77777777" w:rsidR="005C43FF" w:rsidRDefault="005C43FF"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407AE" w14:textId="77777777"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21BA8"/>
    <w:multiLevelType w:val="hybridMultilevel"/>
    <w:tmpl w:val="98BE21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255E38"/>
    <w:multiLevelType w:val="hybridMultilevel"/>
    <w:tmpl w:val="A68AA2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0A1AC1"/>
    <w:multiLevelType w:val="hybridMultilevel"/>
    <w:tmpl w:val="1DF6D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3369A4"/>
    <w:multiLevelType w:val="hybridMultilevel"/>
    <w:tmpl w:val="0FC07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AE35FA"/>
    <w:multiLevelType w:val="hybridMultilevel"/>
    <w:tmpl w:val="FB385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26095EE7"/>
    <w:multiLevelType w:val="hybridMultilevel"/>
    <w:tmpl w:val="1BFCD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44984F62"/>
    <w:multiLevelType w:val="hybridMultilevel"/>
    <w:tmpl w:val="613A8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5D5269"/>
    <w:multiLevelType w:val="hybridMultilevel"/>
    <w:tmpl w:val="BE287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E65F8C"/>
    <w:multiLevelType w:val="hybridMultilevel"/>
    <w:tmpl w:val="8A0ED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6EC55D0E"/>
    <w:multiLevelType w:val="hybridMultilevel"/>
    <w:tmpl w:val="39EA4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2"/>
  </w:num>
  <w:num w:numId="3">
    <w:abstractNumId w:val="7"/>
  </w:num>
  <w:num w:numId="4">
    <w:abstractNumId w:val="11"/>
  </w:num>
  <w:num w:numId="5">
    <w:abstractNumId w:val="0"/>
  </w:num>
  <w:num w:numId="6">
    <w:abstractNumId w:val="1"/>
  </w:num>
  <w:num w:numId="7">
    <w:abstractNumId w:val="10"/>
  </w:num>
  <w:num w:numId="8">
    <w:abstractNumId w:val="6"/>
  </w:num>
  <w:num w:numId="9">
    <w:abstractNumId w:val="2"/>
  </w:num>
  <w:num w:numId="10">
    <w:abstractNumId w:val="13"/>
  </w:num>
  <w:num w:numId="11">
    <w:abstractNumId w:val="8"/>
  </w:num>
  <w:num w:numId="12">
    <w:abstractNumId w:val="9"/>
  </w:num>
  <w:num w:numId="13">
    <w:abstractNumId w:val="4"/>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50E"/>
    <w:rsid w:val="000008B4"/>
    <w:rsid w:val="0008797B"/>
    <w:rsid w:val="00091F0B"/>
    <w:rsid w:val="000A6473"/>
    <w:rsid w:val="000B4E56"/>
    <w:rsid w:val="000B5E8E"/>
    <w:rsid w:val="000F2546"/>
    <w:rsid w:val="00101626"/>
    <w:rsid w:val="001364A1"/>
    <w:rsid w:val="0015000E"/>
    <w:rsid w:val="0016131F"/>
    <w:rsid w:val="001953B8"/>
    <w:rsid w:val="002127E2"/>
    <w:rsid w:val="00214C87"/>
    <w:rsid w:val="00215035"/>
    <w:rsid w:val="00285211"/>
    <w:rsid w:val="00290D1E"/>
    <w:rsid w:val="00291DDD"/>
    <w:rsid w:val="002A7181"/>
    <w:rsid w:val="002B3503"/>
    <w:rsid w:val="002D7C6C"/>
    <w:rsid w:val="002F6A38"/>
    <w:rsid w:val="00347DEA"/>
    <w:rsid w:val="00357695"/>
    <w:rsid w:val="00375FEA"/>
    <w:rsid w:val="003777FE"/>
    <w:rsid w:val="003B209A"/>
    <w:rsid w:val="003C5257"/>
    <w:rsid w:val="0042109F"/>
    <w:rsid w:val="004241C3"/>
    <w:rsid w:val="00426A90"/>
    <w:rsid w:val="0043450E"/>
    <w:rsid w:val="00441FD6"/>
    <w:rsid w:val="00453BA5"/>
    <w:rsid w:val="00454E53"/>
    <w:rsid w:val="004567B9"/>
    <w:rsid w:val="0048095C"/>
    <w:rsid w:val="00482477"/>
    <w:rsid w:val="00487EBC"/>
    <w:rsid w:val="00491386"/>
    <w:rsid w:val="00494F18"/>
    <w:rsid w:val="004A41DA"/>
    <w:rsid w:val="004C0103"/>
    <w:rsid w:val="004C58F9"/>
    <w:rsid w:val="004D0C67"/>
    <w:rsid w:val="004D0F95"/>
    <w:rsid w:val="004D3D81"/>
    <w:rsid w:val="004F07FE"/>
    <w:rsid w:val="004F2BB6"/>
    <w:rsid w:val="00560A63"/>
    <w:rsid w:val="00564B2E"/>
    <w:rsid w:val="00570B14"/>
    <w:rsid w:val="005B2640"/>
    <w:rsid w:val="005C43FF"/>
    <w:rsid w:val="005F34D4"/>
    <w:rsid w:val="005F6CE3"/>
    <w:rsid w:val="00602EB6"/>
    <w:rsid w:val="00641C2E"/>
    <w:rsid w:val="00641E1F"/>
    <w:rsid w:val="00645011"/>
    <w:rsid w:val="00664DF6"/>
    <w:rsid w:val="006C6840"/>
    <w:rsid w:val="006E2022"/>
    <w:rsid w:val="006E2DC8"/>
    <w:rsid w:val="0070640F"/>
    <w:rsid w:val="007259EA"/>
    <w:rsid w:val="00726265"/>
    <w:rsid w:val="00734EBD"/>
    <w:rsid w:val="00753264"/>
    <w:rsid w:val="007D20DF"/>
    <w:rsid w:val="007D5E97"/>
    <w:rsid w:val="008236E4"/>
    <w:rsid w:val="00850296"/>
    <w:rsid w:val="00890532"/>
    <w:rsid w:val="008A4493"/>
    <w:rsid w:val="0091383D"/>
    <w:rsid w:val="00940559"/>
    <w:rsid w:val="00996062"/>
    <w:rsid w:val="009A2039"/>
    <w:rsid w:val="009B1E68"/>
    <w:rsid w:val="009E005B"/>
    <w:rsid w:val="00A32A03"/>
    <w:rsid w:val="00A451E8"/>
    <w:rsid w:val="00A6018C"/>
    <w:rsid w:val="00A67CB9"/>
    <w:rsid w:val="00AA234E"/>
    <w:rsid w:val="00AB4539"/>
    <w:rsid w:val="00AE6327"/>
    <w:rsid w:val="00AF7CB0"/>
    <w:rsid w:val="00B4385F"/>
    <w:rsid w:val="00B55348"/>
    <w:rsid w:val="00B65B59"/>
    <w:rsid w:val="00B676CD"/>
    <w:rsid w:val="00B84E40"/>
    <w:rsid w:val="00B90056"/>
    <w:rsid w:val="00BC764C"/>
    <w:rsid w:val="00BD66B4"/>
    <w:rsid w:val="00BF4B17"/>
    <w:rsid w:val="00C21554"/>
    <w:rsid w:val="00C3269C"/>
    <w:rsid w:val="00C81190"/>
    <w:rsid w:val="00D0377E"/>
    <w:rsid w:val="00D21D48"/>
    <w:rsid w:val="00D275CC"/>
    <w:rsid w:val="00D72F3E"/>
    <w:rsid w:val="00D767C4"/>
    <w:rsid w:val="00D77CF5"/>
    <w:rsid w:val="00DD697C"/>
    <w:rsid w:val="00E33B68"/>
    <w:rsid w:val="00E830AA"/>
    <w:rsid w:val="00E962C5"/>
    <w:rsid w:val="00EA3488"/>
    <w:rsid w:val="00EB5F7D"/>
    <w:rsid w:val="00EC589F"/>
    <w:rsid w:val="00EF7F04"/>
    <w:rsid w:val="00F14778"/>
    <w:rsid w:val="00F97D64"/>
    <w:rsid w:val="00FD085A"/>
    <w:rsid w:val="00FD543C"/>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B9CB1B"/>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2F3E"/>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D72F3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D72F3E"/>
    <w:pPr>
      <w:pBdr>
        <w:top w:val="none" w:sz="0" w:space="0" w:color="auto"/>
      </w:pBdr>
      <w:spacing w:before="180"/>
      <w:outlineLvl w:val="1"/>
    </w:pPr>
    <w:rPr>
      <w:sz w:val="32"/>
    </w:rPr>
  </w:style>
  <w:style w:type="paragraph" w:styleId="Heading3">
    <w:name w:val="heading 3"/>
    <w:basedOn w:val="Heading2"/>
    <w:next w:val="Normal"/>
    <w:qFormat/>
    <w:rsid w:val="00D72F3E"/>
    <w:pPr>
      <w:spacing w:before="120"/>
      <w:outlineLvl w:val="2"/>
    </w:pPr>
    <w:rPr>
      <w:sz w:val="28"/>
    </w:rPr>
  </w:style>
  <w:style w:type="paragraph" w:styleId="Heading4">
    <w:name w:val="heading 4"/>
    <w:basedOn w:val="Heading3"/>
    <w:next w:val="Normal"/>
    <w:qFormat/>
    <w:rsid w:val="00D72F3E"/>
    <w:pPr>
      <w:ind w:left="1418" w:hanging="1418"/>
      <w:outlineLvl w:val="3"/>
    </w:pPr>
    <w:rPr>
      <w:sz w:val="24"/>
    </w:rPr>
  </w:style>
  <w:style w:type="paragraph" w:styleId="Heading5">
    <w:name w:val="heading 5"/>
    <w:basedOn w:val="Heading4"/>
    <w:next w:val="Normal"/>
    <w:qFormat/>
    <w:rsid w:val="00D72F3E"/>
    <w:pPr>
      <w:ind w:left="1701" w:hanging="1701"/>
      <w:outlineLvl w:val="4"/>
    </w:pPr>
    <w:rPr>
      <w:sz w:val="22"/>
    </w:rPr>
  </w:style>
  <w:style w:type="paragraph" w:styleId="Heading6">
    <w:name w:val="heading 6"/>
    <w:basedOn w:val="H6"/>
    <w:next w:val="Normal"/>
    <w:qFormat/>
    <w:rsid w:val="00D72F3E"/>
    <w:pPr>
      <w:outlineLvl w:val="5"/>
    </w:pPr>
  </w:style>
  <w:style w:type="paragraph" w:styleId="Heading7">
    <w:name w:val="heading 7"/>
    <w:basedOn w:val="H6"/>
    <w:next w:val="Normal"/>
    <w:qFormat/>
    <w:rsid w:val="00D72F3E"/>
    <w:pPr>
      <w:outlineLvl w:val="6"/>
    </w:pPr>
  </w:style>
  <w:style w:type="paragraph" w:styleId="Heading8">
    <w:name w:val="heading 8"/>
    <w:basedOn w:val="Heading1"/>
    <w:next w:val="Normal"/>
    <w:qFormat/>
    <w:rsid w:val="00D72F3E"/>
    <w:pPr>
      <w:ind w:left="0" w:firstLine="0"/>
      <w:outlineLvl w:val="7"/>
    </w:pPr>
  </w:style>
  <w:style w:type="paragraph" w:styleId="Heading9">
    <w:name w:val="heading 9"/>
    <w:basedOn w:val="Heading8"/>
    <w:next w:val="Normal"/>
    <w:qFormat/>
    <w:rsid w:val="00D72F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72F3E"/>
    <w:pPr>
      <w:spacing w:before="180"/>
      <w:ind w:left="2693" w:hanging="2693"/>
    </w:pPr>
    <w:rPr>
      <w:b/>
    </w:rPr>
  </w:style>
  <w:style w:type="paragraph" w:styleId="TOC1">
    <w:name w:val="toc 1"/>
    <w:semiHidden/>
    <w:rsid w:val="00D72F3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72F3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72F3E"/>
    <w:pPr>
      <w:ind w:left="1701" w:hanging="1701"/>
    </w:pPr>
  </w:style>
  <w:style w:type="paragraph" w:styleId="TOC4">
    <w:name w:val="toc 4"/>
    <w:basedOn w:val="TOC3"/>
    <w:semiHidden/>
    <w:rsid w:val="00D72F3E"/>
    <w:pPr>
      <w:ind w:left="1418" w:hanging="1418"/>
    </w:pPr>
  </w:style>
  <w:style w:type="paragraph" w:styleId="TOC3">
    <w:name w:val="toc 3"/>
    <w:basedOn w:val="TOC2"/>
    <w:semiHidden/>
    <w:rsid w:val="00D72F3E"/>
    <w:pPr>
      <w:ind w:left="1134" w:hanging="1134"/>
    </w:pPr>
  </w:style>
  <w:style w:type="paragraph" w:styleId="TOC2">
    <w:name w:val="toc 2"/>
    <w:basedOn w:val="TOC1"/>
    <w:semiHidden/>
    <w:rsid w:val="00D72F3E"/>
    <w:pPr>
      <w:keepNext w:val="0"/>
      <w:spacing w:before="0"/>
      <w:ind w:left="851" w:hanging="851"/>
    </w:pPr>
    <w:rPr>
      <w:sz w:val="20"/>
    </w:rPr>
  </w:style>
  <w:style w:type="paragraph" w:styleId="Index2">
    <w:name w:val="index 2"/>
    <w:basedOn w:val="Index1"/>
    <w:semiHidden/>
    <w:rsid w:val="00D72F3E"/>
    <w:pPr>
      <w:ind w:left="284"/>
    </w:pPr>
  </w:style>
  <w:style w:type="paragraph" w:styleId="Index1">
    <w:name w:val="index 1"/>
    <w:basedOn w:val="Normal"/>
    <w:semiHidden/>
    <w:rsid w:val="00D72F3E"/>
    <w:pPr>
      <w:keepLines/>
      <w:spacing w:after="0"/>
    </w:pPr>
  </w:style>
  <w:style w:type="paragraph" w:customStyle="1" w:styleId="ZH">
    <w:name w:val="ZH"/>
    <w:rsid w:val="00D72F3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72F3E"/>
    <w:pPr>
      <w:outlineLvl w:val="9"/>
    </w:pPr>
  </w:style>
  <w:style w:type="paragraph" w:styleId="ListNumber2">
    <w:name w:val="List Number 2"/>
    <w:basedOn w:val="ListNumber"/>
    <w:semiHidden/>
    <w:rsid w:val="00D72F3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72F3E"/>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D72F3E"/>
    <w:rPr>
      <w:b/>
      <w:position w:val="6"/>
      <w:sz w:val="16"/>
    </w:rPr>
  </w:style>
  <w:style w:type="paragraph" w:styleId="FootnoteText">
    <w:name w:val="footnote text"/>
    <w:basedOn w:val="Normal"/>
    <w:semiHidden/>
    <w:rsid w:val="00D72F3E"/>
    <w:pPr>
      <w:keepLines/>
      <w:spacing w:after="0"/>
      <w:ind w:left="454" w:hanging="454"/>
    </w:pPr>
    <w:rPr>
      <w:sz w:val="16"/>
    </w:rPr>
  </w:style>
  <w:style w:type="paragraph" w:customStyle="1" w:styleId="TAH">
    <w:name w:val="TAH"/>
    <w:basedOn w:val="TAC"/>
    <w:link w:val="TAHCar"/>
    <w:uiPriority w:val="99"/>
    <w:qFormat/>
    <w:rsid w:val="00D72F3E"/>
    <w:rPr>
      <w:b/>
    </w:rPr>
  </w:style>
  <w:style w:type="paragraph" w:customStyle="1" w:styleId="TAC">
    <w:name w:val="TAC"/>
    <w:basedOn w:val="TAL"/>
    <w:link w:val="TACChar"/>
    <w:qFormat/>
    <w:rsid w:val="00D72F3E"/>
    <w:pPr>
      <w:jc w:val="center"/>
    </w:pPr>
  </w:style>
  <w:style w:type="paragraph" w:customStyle="1" w:styleId="TF">
    <w:name w:val="TF"/>
    <w:basedOn w:val="TH"/>
    <w:rsid w:val="00D72F3E"/>
    <w:pPr>
      <w:keepNext w:val="0"/>
      <w:spacing w:before="0" w:after="240"/>
    </w:pPr>
  </w:style>
  <w:style w:type="paragraph" w:customStyle="1" w:styleId="NO">
    <w:name w:val="NO"/>
    <w:basedOn w:val="Normal"/>
    <w:rsid w:val="00D72F3E"/>
    <w:pPr>
      <w:keepLines/>
      <w:ind w:left="1135" w:hanging="851"/>
    </w:pPr>
  </w:style>
  <w:style w:type="paragraph" w:styleId="TOC9">
    <w:name w:val="toc 9"/>
    <w:basedOn w:val="TOC8"/>
    <w:semiHidden/>
    <w:rsid w:val="00D72F3E"/>
    <w:pPr>
      <w:ind w:left="1418" w:hanging="1418"/>
    </w:pPr>
  </w:style>
  <w:style w:type="paragraph" w:customStyle="1" w:styleId="EX">
    <w:name w:val="EX"/>
    <w:basedOn w:val="Normal"/>
    <w:rsid w:val="00D72F3E"/>
    <w:pPr>
      <w:keepLines/>
      <w:ind w:left="1702" w:hanging="1418"/>
    </w:pPr>
  </w:style>
  <w:style w:type="paragraph" w:customStyle="1" w:styleId="FP">
    <w:name w:val="FP"/>
    <w:basedOn w:val="Normal"/>
    <w:rsid w:val="00D72F3E"/>
    <w:pPr>
      <w:spacing w:after="0"/>
    </w:pPr>
  </w:style>
  <w:style w:type="paragraph" w:customStyle="1" w:styleId="LD">
    <w:name w:val="LD"/>
    <w:rsid w:val="00D72F3E"/>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72F3E"/>
    <w:pPr>
      <w:spacing w:after="0"/>
    </w:pPr>
  </w:style>
  <w:style w:type="paragraph" w:customStyle="1" w:styleId="EW">
    <w:name w:val="EW"/>
    <w:basedOn w:val="EX"/>
    <w:rsid w:val="00D72F3E"/>
    <w:pPr>
      <w:spacing w:after="0"/>
    </w:pPr>
  </w:style>
  <w:style w:type="paragraph" w:styleId="TOC6">
    <w:name w:val="toc 6"/>
    <w:basedOn w:val="TOC5"/>
    <w:next w:val="Normal"/>
    <w:semiHidden/>
    <w:rsid w:val="00D72F3E"/>
    <w:pPr>
      <w:ind w:left="1985" w:hanging="1985"/>
    </w:pPr>
  </w:style>
  <w:style w:type="paragraph" w:styleId="TOC7">
    <w:name w:val="toc 7"/>
    <w:basedOn w:val="TOC6"/>
    <w:next w:val="Normal"/>
    <w:semiHidden/>
    <w:rsid w:val="00D72F3E"/>
    <w:pPr>
      <w:ind w:left="2268" w:hanging="2268"/>
    </w:pPr>
  </w:style>
  <w:style w:type="paragraph" w:styleId="ListBullet2">
    <w:name w:val="List Bullet 2"/>
    <w:basedOn w:val="ListBullet"/>
    <w:semiHidden/>
    <w:rsid w:val="00D72F3E"/>
    <w:pPr>
      <w:ind w:left="851"/>
    </w:pPr>
  </w:style>
  <w:style w:type="paragraph" w:styleId="ListBullet3">
    <w:name w:val="List Bullet 3"/>
    <w:basedOn w:val="ListBullet2"/>
    <w:semiHidden/>
    <w:rsid w:val="00D72F3E"/>
    <w:pPr>
      <w:ind w:left="1135"/>
    </w:pPr>
  </w:style>
  <w:style w:type="paragraph" w:styleId="ListNumber">
    <w:name w:val="List Number"/>
    <w:basedOn w:val="List"/>
    <w:semiHidden/>
    <w:rsid w:val="00D72F3E"/>
  </w:style>
  <w:style w:type="paragraph" w:customStyle="1" w:styleId="EQ">
    <w:name w:val="EQ"/>
    <w:basedOn w:val="Normal"/>
    <w:next w:val="Normal"/>
    <w:rsid w:val="00D72F3E"/>
    <w:pPr>
      <w:keepLines/>
      <w:tabs>
        <w:tab w:val="center" w:pos="4536"/>
        <w:tab w:val="right" w:pos="9072"/>
      </w:tabs>
    </w:pPr>
    <w:rPr>
      <w:noProof/>
    </w:rPr>
  </w:style>
  <w:style w:type="paragraph" w:customStyle="1" w:styleId="TH">
    <w:name w:val="TH"/>
    <w:basedOn w:val="Normal"/>
    <w:link w:val="THChar"/>
    <w:qFormat/>
    <w:rsid w:val="00D72F3E"/>
    <w:pPr>
      <w:keepNext/>
      <w:keepLines/>
      <w:spacing w:before="60"/>
      <w:jc w:val="center"/>
    </w:pPr>
    <w:rPr>
      <w:rFonts w:ascii="Arial" w:hAnsi="Arial"/>
      <w:b/>
    </w:rPr>
  </w:style>
  <w:style w:type="paragraph" w:customStyle="1" w:styleId="NF">
    <w:name w:val="NF"/>
    <w:basedOn w:val="NO"/>
    <w:rsid w:val="00D72F3E"/>
    <w:pPr>
      <w:keepNext/>
      <w:spacing w:after="0"/>
    </w:pPr>
    <w:rPr>
      <w:rFonts w:ascii="Arial" w:hAnsi="Arial"/>
      <w:sz w:val="18"/>
    </w:rPr>
  </w:style>
  <w:style w:type="paragraph" w:customStyle="1" w:styleId="PL">
    <w:name w:val="PL"/>
    <w:rsid w:val="00D72F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72F3E"/>
    <w:pPr>
      <w:jc w:val="right"/>
    </w:pPr>
  </w:style>
  <w:style w:type="paragraph" w:customStyle="1" w:styleId="H6">
    <w:name w:val="H6"/>
    <w:basedOn w:val="Heading5"/>
    <w:next w:val="Normal"/>
    <w:rsid w:val="00D72F3E"/>
    <w:pPr>
      <w:ind w:left="1985" w:hanging="1985"/>
      <w:outlineLvl w:val="9"/>
    </w:pPr>
    <w:rPr>
      <w:sz w:val="20"/>
    </w:rPr>
  </w:style>
  <w:style w:type="paragraph" w:customStyle="1" w:styleId="TAN">
    <w:name w:val="TAN"/>
    <w:basedOn w:val="TAL"/>
    <w:link w:val="TANChar"/>
    <w:qFormat/>
    <w:rsid w:val="00D72F3E"/>
    <w:pPr>
      <w:ind w:left="851" w:hanging="851"/>
    </w:pPr>
  </w:style>
  <w:style w:type="paragraph" w:customStyle="1" w:styleId="TAL">
    <w:name w:val="TAL"/>
    <w:basedOn w:val="Normal"/>
    <w:rsid w:val="00D72F3E"/>
    <w:pPr>
      <w:keepNext/>
      <w:keepLines/>
      <w:spacing w:after="0"/>
    </w:pPr>
    <w:rPr>
      <w:rFonts w:ascii="Arial" w:hAnsi="Arial"/>
      <w:sz w:val="18"/>
    </w:rPr>
  </w:style>
  <w:style w:type="paragraph" w:customStyle="1" w:styleId="ZA">
    <w:name w:val="ZA"/>
    <w:rsid w:val="00D72F3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72F3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72F3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72F3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72F3E"/>
    <w:pPr>
      <w:framePr w:wrap="notBeside" w:y="16161"/>
    </w:pPr>
  </w:style>
  <w:style w:type="character" w:customStyle="1" w:styleId="ZGSM">
    <w:name w:val="ZGSM"/>
    <w:rsid w:val="00D72F3E"/>
  </w:style>
  <w:style w:type="paragraph" w:styleId="List2">
    <w:name w:val="List 2"/>
    <w:basedOn w:val="List"/>
    <w:semiHidden/>
    <w:rsid w:val="00D72F3E"/>
    <w:pPr>
      <w:ind w:left="851"/>
    </w:pPr>
  </w:style>
  <w:style w:type="paragraph" w:customStyle="1" w:styleId="ZG">
    <w:name w:val="ZG"/>
    <w:rsid w:val="00D72F3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D72F3E"/>
    <w:pPr>
      <w:ind w:left="1135"/>
    </w:pPr>
  </w:style>
  <w:style w:type="paragraph" w:styleId="List4">
    <w:name w:val="List 4"/>
    <w:basedOn w:val="List3"/>
    <w:semiHidden/>
    <w:rsid w:val="00D72F3E"/>
    <w:pPr>
      <w:ind w:left="1418"/>
    </w:pPr>
  </w:style>
  <w:style w:type="paragraph" w:styleId="List5">
    <w:name w:val="List 5"/>
    <w:basedOn w:val="List4"/>
    <w:semiHidden/>
    <w:rsid w:val="00D72F3E"/>
    <w:pPr>
      <w:ind w:left="1702"/>
    </w:pPr>
  </w:style>
  <w:style w:type="paragraph" w:customStyle="1" w:styleId="EditorsNote">
    <w:name w:val="Editor's Note"/>
    <w:basedOn w:val="NO"/>
    <w:rsid w:val="00D72F3E"/>
    <w:rPr>
      <w:color w:val="FF0000"/>
    </w:rPr>
  </w:style>
  <w:style w:type="paragraph" w:styleId="List">
    <w:name w:val="List"/>
    <w:basedOn w:val="Normal"/>
    <w:semiHidden/>
    <w:rsid w:val="00D72F3E"/>
    <w:pPr>
      <w:ind w:left="568" w:hanging="284"/>
    </w:pPr>
  </w:style>
  <w:style w:type="paragraph" w:styleId="ListBullet">
    <w:name w:val="List Bullet"/>
    <w:basedOn w:val="List"/>
    <w:semiHidden/>
    <w:rsid w:val="00D72F3E"/>
  </w:style>
  <w:style w:type="paragraph" w:styleId="ListBullet4">
    <w:name w:val="List Bullet 4"/>
    <w:basedOn w:val="ListBullet3"/>
    <w:semiHidden/>
    <w:rsid w:val="00D72F3E"/>
    <w:pPr>
      <w:ind w:left="1418"/>
    </w:pPr>
  </w:style>
  <w:style w:type="paragraph" w:styleId="ListBullet5">
    <w:name w:val="List Bullet 5"/>
    <w:basedOn w:val="ListBullet4"/>
    <w:semiHidden/>
    <w:rsid w:val="00D72F3E"/>
    <w:pPr>
      <w:ind w:left="1702"/>
    </w:pPr>
  </w:style>
  <w:style w:type="paragraph" w:customStyle="1" w:styleId="B1">
    <w:name w:val="B1"/>
    <w:basedOn w:val="List"/>
    <w:rsid w:val="00D72F3E"/>
  </w:style>
  <w:style w:type="paragraph" w:customStyle="1" w:styleId="B2">
    <w:name w:val="B2"/>
    <w:basedOn w:val="List2"/>
    <w:rsid w:val="00D72F3E"/>
  </w:style>
  <w:style w:type="paragraph" w:customStyle="1" w:styleId="B3">
    <w:name w:val="B3"/>
    <w:basedOn w:val="List3"/>
    <w:rsid w:val="00D72F3E"/>
  </w:style>
  <w:style w:type="paragraph" w:customStyle="1" w:styleId="B4">
    <w:name w:val="B4"/>
    <w:basedOn w:val="List4"/>
    <w:rsid w:val="00D72F3E"/>
  </w:style>
  <w:style w:type="paragraph" w:customStyle="1" w:styleId="B5">
    <w:name w:val="B5"/>
    <w:basedOn w:val="List5"/>
    <w:rsid w:val="00D72F3E"/>
  </w:style>
  <w:style w:type="paragraph" w:styleId="Footer">
    <w:name w:val="footer"/>
    <w:basedOn w:val="Header"/>
    <w:semiHidden/>
    <w:rsid w:val="00D72F3E"/>
    <w:pPr>
      <w:jc w:val="center"/>
    </w:pPr>
    <w:rPr>
      <w:i/>
    </w:rPr>
  </w:style>
  <w:style w:type="paragraph" w:customStyle="1" w:styleId="ZTD">
    <w:name w:val="ZTD"/>
    <w:basedOn w:val="ZB"/>
    <w:rsid w:val="00D72F3E"/>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uiPriority w:val="99"/>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uiPriority w:val="34"/>
    <w:qFormat/>
    <w:rsid w:val="00D767C4"/>
    <w:pPr>
      <w:ind w:left="720"/>
      <w:contextualSpacing/>
    </w:pPr>
  </w:style>
  <w:style w:type="paragraph" w:customStyle="1" w:styleId="a">
    <w:name w:val="样式 页眉"/>
    <w:basedOn w:val="Header"/>
    <w:link w:val="Char"/>
    <w:rsid w:val="00426A90"/>
    <w:rPr>
      <w:rFonts w:eastAsia="Arial"/>
      <w:bCs/>
      <w:sz w:val="22"/>
      <w:lang w:val="en-GB"/>
    </w:rPr>
  </w:style>
  <w:style w:type="character" w:customStyle="1" w:styleId="Char">
    <w:name w:val="样式 页眉 Char"/>
    <w:link w:val="a"/>
    <w:rsid w:val="00426A90"/>
    <w:rPr>
      <w:rFonts w:ascii="Arial" w:eastAsia="Arial" w:hAnsi="Arial"/>
      <w:b/>
      <w:bCs/>
      <w:noProof/>
      <w:sz w:val="22"/>
      <w:lang w:val="en-GB" w:eastAsia="en-US"/>
    </w:rPr>
  </w:style>
  <w:style w:type="character" w:customStyle="1" w:styleId="THChar">
    <w:name w:val="TH Char"/>
    <w:link w:val="TH"/>
    <w:rsid w:val="00D72F3E"/>
    <w:rPr>
      <w:rFonts w:ascii="Arial" w:hAnsi="Arial"/>
      <w:b/>
      <w:lang w:val="en-GB" w:eastAsia="en-US"/>
    </w:rPr>
  </w:style>
  <w:style w:type="character" w:customStyle="1" w:styleId="TANChar">
    <w:name w:val="TAN Char"/>
    <w:link w:val="TAN"/>
    <w:rsid w:val="004D0F9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991717089">
      <w:bodyDiv w:val="1"/>
      <w:marLeft w:val="0"/>
      <w:marRight w:val="0"/>
      <w:marTop w:val="0"/>
      <w:marBottom w:val="0"/>
      <w:divBdr>
        <w:top w:val="none" w:sz="0" w:space="0" w:color="auto"/>
        <w:left w:val="none" w:sz="0" w:space="0" w:color="auto"/>
        <w:bottom w:val="none" w:sz="0" w:space="0" w:color="auto"/>
        <w:right w:val="none" w:sz="0" w:space="0" w:color="auto"/>
      </w:divBdr>
    </w:div>
    <w:div w:id="1447653692">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portal.etsi.org/webapp/MeetingCalendar/MeetingDetails.asp?m_id=1877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651</Words>
  <Characters>3714</Characters>
  <Application>Microsoft Office Word</Application>
  <DocSecurity>0</DocSecurity>
  <Lines>30</Lines>
  <Paragraphs>8</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4357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Laurent Noel</dc:creator>
  <cp:keywords>ESA, style sheet, Winword</cp:keywords>
  <dc:description/>
  <cp:lastModifiedBy>Laurent Noel</cp:lastModifiedBy>
  <cp:revision>2</cp:revision>
  <cp:lastPrinted>1900-01-01T08:00:00Z</cp:lastPrinted>
  <dcterms:created xsi:type="dcterms:W3CDTF">2019-08-16T21:29:00Z</dcterms:created>
  <dcterms:modified xsi:type="dcterms:W3CDTF">2019-08-16T21:29:00Z</dcterms:modified>
</cp:coreProperties>
</file>